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#10</w:t>
      </w:r>
      <w:r w:rsidR="00B1063A">
        <w:rPr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AD4BCF">
        <w:rPr>
          <w:bCs/>
          <w:noProof w:val="0"/>
          <w:sz w:val="24"/>
          <w:szCs w:val="24"/>
        </w:rPr>
        <w:t>9</w:t>
      </w:r>
      <w:r w:rsidR="00247D51">
        <w:rPr>
          <w:bCs/>
          <w:noProof w:val="0"/>
          <w:sz w:val="24"/>
          <w:szCs w:val="24"/>
        </w:rPr>
        <w:t>6854</w:t>
      </w:r>
    </w:p>
    <w:p w:rsidR="00CD4C7B" w:rsidRPr="009A098E" w:rsidRDefault="00B1063A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 w:rsidRPr="009A098E">
        <w:rPr>
          <w:rFonts w:cs="Arial"/>
          <w:sz w:val="24"/>
          <w:szCs w:val="24"/>
          <w:lang w:val="nb-NO"/>
        </w:rPr>
        <w:t>Reno (NV)</w:t>
      </w:r>
      <w:r w:rsidR="001370F2" w:rsidRPr="009A098E">
        <w:rPr>
          <w:rFonts w:cs="Arial"/>
          <w:sz w:val="24"/>
          <w:szCs w:val="24"/>
          <w:lang w:val="nb-NO"/>
        </w:rPr>
        <w:t xml:space="preserve">, </w:t>
      </w:r>
      <w:r w:rsidRPr="009A098E">
        <w:rPr>
          <w:rFonts w:cs="Arial"/>
          <w:sz w:val="24"/>
          <w:szCs w:val="24"/>
          <w:lang w:val="nb-NO"/>
        </w:rPr>
        <w:t>USA</w:t>
      </w:r>
      <w:r w:rsidR="001370F2" w:rsidRPr="009A098E">
        <w:rPr>
          <w:rFonts w:cs="Arial"/>
          <w:sz w:val="24"/>
          <w:szCs w:val="24"/>
          <w:lang w:val="nb-NO"/>
        </w:rPr>
        <w:t xml:space="preserve">, </w:t>
      </w:r>
      <w:r w:rsidR="00CB6651" w:rsidRPr="009A098E">
        <w:rPr>
          <w:rFonts w:cs="Arial"/>
          <w:sz w:val="24"/>
          <w:szCs w:val="24"/>
          <w:lang w:val="nb-NO"/>
        </w:rPr>
        <w:t>1</w:t>
      </w:r>
      <w:r w:rsidRPr="009A098E">
        <w:rPr>
          <w:rFonts w:cs="Arial"/>
          <w:sz w:val="24"/>
          <w:szCs w:val="24"/>
          <w:lang w:val="nb-NO"/>
        </w:rPr>
        <w:t>8</w:t>
      </w:r>
      <w:r w:rsidR="001370F2" w:rsidRPr="009A098E">
        <w:rPr>
          <w:rFonts w:cs="Arial"/>
          <w:sz w:val="24"/>
          <w:szCs w:val="24"/>
          <w:lang w:val="nb-NO"/>
        </w:rPr>
        <w:t xml:space="preserve"> – </w:t>
      </w:r>
      <w:r w:rsidRPr="009A098E">
        <w:rPr>
          <w:rFonts w:cs="Arial"/>
          <w:sz w:val="24"/>
          <w:szCs w:val="24"/>
          <w:lang w:val="nb-NO"/>
        </w:rPr>
        <w:t>22</w:t>
      </w:r>
      <w:r w:rsidR="001370F2" w:rsidRPr="009A098E">
        <w:rPr>
          <w:rFonts w:cs="Arial"/>
          <w:sz w:val="24"/>
          <w:szCs w:val="24"/>
          <w:lang w:val="nb-NO"/>
        </w:rPr>
        <w:t xml:space="preserve"> </w:t>
      </w:r>
      <w:r w:rsidRPr="009A098E">
        <w:rPr>
          <w:rFonts w:cs="Arial"/>
          <w:sz w:val="24"/>
          <w:szCs w:val="24"/>
          <w:lang w:val="nb-NO"/>
        </w:rPr>
        <w:t>November</w:t>
      </w:r>
      <w:r w:rsidR="009C4D5C" w:rsidRPr="009A098E">
        <w:rPr>
          <w:rFonts w:eastAsia="SimSun"/>
          <w:noProof w:val="0"/>
          <w:sz w:val="24"/>
          <w:szCs w:val="24"/>
          <w:lang w:val="nb-NO" w:eastAsia="zh-CN"/>
        </w:rPr>
        <w:t>,</w:t>
      </w:r>
      <w:r w:rsidR="005D4274" w:rsidRPr="009A098E">
        <w:rPr>
          <w:rFonts w:eastAsia="SimSun"/>
          <w:noProof w:val="0"/>
          <w:sz w:val="24"/>
          <w:szCs w:val="24"/>
          <w:lang w:val="nb-NO" w:eastAsia="zh-CN"/>
        </w:rPr>
        <w:t xml:space="preserve"> </w:t>
      </w:r>
      <w:bookmarkEnd w:id="1"/>
      <w:r w:rsidR="00CD4C7B" w:rsidRPr="009A098E">
        <w:rPr>
          <w:rFonts w:eastAsia="SimSun"/>
          <w:noProof w:val="0"/>
          <w:sz w:val="24"/>
          <w:szCs w:val="24"/>
          <w:lang w:val="nb-NO" w:eastAsia="zh-CN"/>
        </w:rPr>
        <w:t>20</w:t>
      </w:r>
      <w:r w:rsidR="003454FC" w:rsidRPr="009A098E">
        <w:rPr>
          <w:rFonts w:eastAsia="SimSun"/>
          <w:noProof w:val="0"/>
          <w:sz w:val="24"/>
          <w:szCs w:val="24"/>
          <w:lang w:val="nb-NO" w:eastAsia="zh-CN"/>
        </w:rPr>
        <w:t>1</w:t>
      </w:r>
      <w:r w:rsidR="00AD4BCF" w:rsidRPr="009A098E">
        <w:rPr>
          <w:rFonts w:eastAsia="SimSun"/>
          <w:noProof w:val="0"/>
          <w:sz w:val="24"/>
          <w:szCs w:val="24"/>
          <w:lang w:val="nb-NO" w:eastAsia="zh-CN"/>
        </w:rPr>
        <w:t>9</w:t>
      </w:r>
    </w:p>
    <w:p w:rsidR="00CD4C7B" w:rsidRPr="009A098E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:rsidR="00CD4C7B" w:rsidRPr="009A098E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:rsidR="00CD4C7B" w:rsidRPr="00D84193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nb-NO" w:eastAsia="ja-JP"/>
        </w:rPr>
      </w:pPr>
      <w:r w:rsidRPr="00D84193">
        <w:rPr>
          <w:rFonts w:cs="Arial"/>
          <w:b/>
          <w:bCs/>
          <w:sz w:val="24"/>
          <w:lang w:val="nb-NO"/>
        </w:rPr>
        <w:t>Agenda item:</w:t>
      </w:r>
      <w:r w:rsidRPr="00D84193">
        <w:rPr>
          <w:rFonts w:cs="Arial"/>
          <w:b/>
          <w:bCs/>
          <w:sz w:val="24"/>
          <w:lang w:val="nb-NO"/>
        </w:rPr>
        <w:tab/>
      </w:r>
      <w:r w:rsidR="009A098E" w:rsidRPr="00D84193">
        <w:rPr>
          <w:rFonts w:cs="Arial"/>
          <w:b/>
          <w:bCs/>
          <w:sz w:val="24"/>
          <w:lang w:val="nb-NO" w:eastAsia="ja-JP"/>
        </w:rPr>
        <w:t>9.3.1</w:t>
      </w:r>
      <w:bookmarkStart w:id="2" w:name="_GoBack"/>
      <w:bookmarkEnd w:id="2"/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3" w:name="_Hlk23541269"/>
      <w:r w:rsidR="009A098E">
        <w:rPr>
          <w:rFonts w:ascii="Arial" w:hAnsi="Arial" w:cs="Arial"/>
          <w:b/>
          <w:bCs/>
          <w:sz w:val="24"/>
        </w:rPr>
        <w:t xml:space="preserve">Construction of NCGI and TAI </w:t>
      </w:r>
      <w:bookmarkEnd w:id="3"/>
      <w:r w:rsidR="009A098E">
        <w:rPr>
          <w:rFonts w:ascii="Arial" w:hAnsi="Arial" w:cs="Arial"/>
          <w:b/>
          <w:bCs/>
          <w:sz w:val="24"/>
        </w:rPr>
        <w:t>when multiple cell IDs are broadcast in SIB1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B369EB" w:rsidRDefault="00506C01" w:rsidP="00CD4C7B">
      <w:r>
        <w:t>N</w:t>
      </w:r>
      <w:r w:rsidR="00D84193">
        <w:t xml:space="preserve">eed for </w:t>
      </w:r>
      <w:r>
        <w:t>additional rule for c</w:t>
      </w:r>
      <w:r w:rsidRPr="00506C01">
        <w:t>onstruction of NCGI and TAI</w:t>
      </w:r>
      <w:r>
        <w:t xml:space="preserve"> was discussed at RAN3#105bis</w:t>
      </w:r>
      <w:r w:rsidR="00B369EB">
        <w:t xml:space="preserve">. The discussion was </w:t>
      </w:r>
      <w:proofErr w:type="spellStart"/>
      <w:r w:rsidR="00B369EB">
        <w:t>riggered</w:t>
      </w:r>
      <w:proofErr w:type="spellEnd"/>
      <w:r w:rsidR="00B369EB">
        <w:t xml:space="preserve"> by [1] describing an operator deployment case, and [2] proposing </w:t>
      </w:r>
      <w:r w:rsidR="00E01EE3">
        <w:t xml:space="preserve">Rel-15 </w:t>
      </w:r>
      <w:r w:rsidR="00B369EB">
        <w:t>stage 2 clarification.</w:t>
      </w:r>
    </w:p>
    <w:p w:rsidR="00CD4C7B" w:rsidRDefault="00B369EB" w:rsidP="00CD4C7B">
      <w:r>
        <w:t>S</w:t>
      </w:r>
      <w:r w:rsidR="00506C01">
        <w:t>ummary of discussion can be found in [</w:t>
      </w:r>
      <w:r>
        <w:t>3</w:t>
      </w:r>
      <w:r w:rsidR="00506C01">
        <w:t>]. In this paper we look further at the two solutions captured in [</w:t>
      </w:r>
      <w:r>
        <w:t>3</w:t>
      </w:r>
      <w:r w:rsidR="00506C01">
        <w:t>].</w:t>
      </w:r>
    </w:p>
    <w:p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:rsidR="00E619A6" w:rsidRDefault="00601142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Two technical problems should in our view be considered in the definition of construction rules for NCGI and TAI. The first problem </w:t>
      </w:r>
      <w:r w:rsidR="00D234B3">
        <w:rPr>
          <w:rFonts w:ascii="Times New Roman" w:hAnsi="Times New Roman"/>
          <w:sz w:val="20"/>
          <w:lang w:val="en-GB"/>
        </w:rPr>
        <w:t xml:space="preserve">is that </w:t>
      </w:r>
      <w:r w:rsidR="00E619A6">
        <w:rPr>
          <w:rFonts w:ascii="Times New Roman" w:hAnsi="Times New Roman"/>
          <w:sz w:val="20"/>
          <w:lang w:val="en-GB"/>
        </w:rPr>
        <w:t xml:space="preserve">the available </w:t>
      </w:r>
      <w:r w:rsidR="00D234B3">
        <w:rPr>
          <w:rFonts w:ascii="Times New Roman" w:hAnsi="Times New Roman"/>
          <w:sz w:val="20"/>
          <w:lang w:val="en-GB"/>
        </w:rPr>
        <w:t>numbering space for</w:t>
      </w:r>
      <w:r w:rsidR="00E619A6">
        <w:rPr>
          <w:rFonts w:ascii="Times New Roman" w:hAnsi="Times New Roman"/>
          <w:sz w:val="20"/>
          <w:lang w:val="en-GB"/>
        </w:rPr>
        <w:t xml:space="preserve"> TAC,</w:t>
      </w:r>
      <w:r w:rsidR="00D234B3">
        <w:rPr>
          <w:rFonts w:ascii="Times New Roman" w:hAnsi="Times New Roman"/>
          <w:sz w:val="20"/>
          <w:lang w:val="en-GB"/>
        </w:rPr>
        <w:t xml:space="preserve"> gNB IDs and cell IDs are limited per PLMN-ID. </w:t>
      </w:r>
      <w:r w:rsidR="00366C7B">
        <w:rPr>
          <w:rFonts w:ascii="Times New Roman" w:hAnsi="Times New Roman"/>
          <w:sz w:val="20"/>
          <w:lang w:val="en-GB"/>
        </w:rPr>
        <w:t>While t</w:t>
      </w:r>
      <w:r w:rsidR="00D234B3">
        <w:rPr>
          <w:rFonts w:ascii="Times New Roman" w:hAnsi="Times New Roman"/>
          <w:sz w:val="20"/>
          <w:lang w:val="en-GB"/>
        </w:rPr>
        <w:t xml:space="preserve">he intercorrelation between </w:t>
      </w:r>
      <w:r w:rsidR="00E619A6">
        <w:rPr>
          <w:rFonts w:ascii="Times New Roman" w:hAnsi="Times New Roman"/>
          <w:sz w:val="20"/>
          <w:lang w:val="en-GB"/>
        </w:rPr>
        <w:t>numbering spaces for gNB IDs and cell IDs</w:t>
      </w:r>
      <w:r w:rsidR="00D234B3">
        <w:rPr>
          <w:rFonts w:ascii="Times New Roman" w:hAnsi="Times New Roman"/>
          <w:sz w:val="20"/>
          <w:lang w:val="en-GB"/>
        </w:rPr>
        <w:t xml:space="preserve"> opens for some operator specific adaptations in terms of length of the gNB ID portion within the cell ID, operators may </w:t>
      </w:r>
      <w:r w:rsidR="00366C7B">
        <w:rPr>
          <w:rFonts w:ascii="Times New Roman" w:hAnsi="Times New Roman"/>
          <w:sz w:val="20"/>
          <w:lang w:val="en-GB"/>
        </w:rPr>
        <w:t xml:space="preserve">still </w:t>
      </w:r>
      <w:r w:rsidR="00D234B3">
        <w:rPr>
          <w:rFonts w:ascii="Times New Roman" w:hAnsi="Times New Roman"/>
          <w:sz w:val="20"/>
          <w:lang w:val="en-GB"/>
        </w:rPr>
        <w:t xml:space="preserve">prefer </w:t>
      </w:r>
      <w:r w:rsidR="00ED03E7">
        <w:rPr>
          <w:rFonts w:ascii="Times New Roman" w:hAnsi="Times New Roman"/>
          <w:sz w:val="20"/>
          <w:lang w:val="en-GB"/>
        </w:rPr>
        <w:t xml:space="preserve">to </w:t>
      </w:r>
      <w:r w:rsidR="004E0E3B">
        <w:rPr>
          <w:rFonts w:ascii="Times New Roman" w:hAnsi="Times New Roman"/>
          <w:sz w:val="20"/>
          <w:lang w:val="en-GB"/>
        </w:rPr>
        <w:t>use</w:t>
      </w:r>
      <w:r w:rsidR="00ED03E7">
        <w:rPr>
          <w:rFonts w:ascii="Times New Roman" w:hAnsi="Times New Roman"/>
          <w:sz w:val="20"/>
          <w:lang w:val="en-GB"/>
        </w:rPr>
        <w:t xml:space="preserve"> the same gNB ID length within their network</w:t>
      </w:r>
      <w:r w:rsidR="009341DC">
        <w:rPr>
          <w:rFonts w:ascii="Times New Roman" w:hAnsi="Times New Roman"/>
          <w:sz w:val="20"/>
          <w:lang w:val="en-GB"/>
        </w:rPr>
        <w:t xml:space="preserve"> or per PLMN-ID</w:t>
      </w:r>
      <w:r w:rsidR="00ED03E7">
        <w:rPr>
          <w:rFonts w:ascii="Times New Roman" w:hAnsi="Times New Roman"/>
          <w:sz w:val="20"/>
          <w:lang w:val="en-GB"/>
        </w:rPr>
        <w:t xml:space="preserve"> hence leaving portions of the </w:t>
      </w:r>
      <w:r w:rsidR="009341DC">
        <w:rPr>
          <w:rFonts w:ascii="Times New Roman" w:hAnsi="Times New Roman"/>
          <w:sz w:val="20"/>
          <w:lang w:val="en-GB"/>
        </w:rPr>
        <w:t xml:space="preserve">total </w:t>
      </w:r>
      <w:r w:rsidR="00ED03E7">
        <w:rPr>
          <w:rFonts w:ascii="Times New Roman" w:hAnsi="Times New Roman"/>
          <w:sz w:val="20"/>
          <w:lang w:val="en-GB"/>
        </w:rPr>
        <w:t>numbering space unused</w:t>
      </w:r>
      <w:r w:rsidR="00D234B3">
        <w:rPr>
          <w:rFonts w:ascii="Times New Roman" w:hAnsi="Times New Roman"/>
          <w:sz w:val="20"/>
          <w:lang w:val="en-GB"/>
        </w:rPr>
        <w:t xml:space="preserve">. </w:t>
      </w:r>
      <w:r w:rsidR="004E0E3B">
        <w:rPr>
          <w:rFonts w:ascii="Times New Roman" w:hAnsi="Times New Roman"/>
          <w:sz w:val="20"/>
          <w:lang w:val="en-GB"/>
        </w:rPr>
        <w:t>Such choice may be motivated by its simplicity. From the point of view of standards, the numbering space available for gNB ID</w:t>
      </w:r>
      <w:r w:rsidR="00366C7B">
        <w:rPr>
          <w:rFonts w:ascii="Times New Roman" w:hAnsi="Times New Roman"/>
          <w:sz w:val="20"/>
          <w:lang w:val="en-GB"/>
        </w:rPr>
        <w:t>,</w:t>
      </w:r>
      <w:r w:rsidR="004E0E3B">
        <w:rPr>
          <w:rFonts w:ascii="Times New Roman" w:hAnsi="Times New Roman"/>
          <w:sz w:val="20"/>
          <w:lang w:val="en-GB"/>
        </w:rPr>
        <w:t xml:space="preserve"> cell ID</w:t>
      </w:r>
      <w:r w:rsidR="00366C7B">
        <w:rPr>
          <w:rFonts w:ascii="Times New Roman" w:hAnsi="Times New Roman"/>
          <w:sz w:val="20"/>
          <w:lang w:val="en-GB"/>
        </w:rPr>
        <w:t xml:space="preserve"> and TAC</w:t>
      </w:r>
      <w:r w:rsidR="004E0E3B">
        <w:rPr>
          <w:rFonts w:ascii="Times New Roman" w:hAnsi="Times New Roman"/>
          <w:sz w:val="20"/>
          <w:lang w:val="en-GB"/>
        </w:rPr>
        <w:t xml:space="preserve"> should anyway be considered as a limited resource</w:t>
      </w:r>
      <w:r w:rsidR="00E619A6">
        <w:rPr>
          <w:rFonts w:ascii="Times New Roman" w:hAnsi="Times New Roman"/>
          <w:sz w:val="20"/>
          <w:lang w:val="en-GB"/>
        </w:rPr>
        <w:t>.</w:t>
      </w:r>
    </w:p>
    <w:p w:rsidR="00E619A6" w:rsidRDefault="00E619A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D234B3" w:rsidRDefault="00E619A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The second problem is to ensure</w:t>
      </w:r>
      <w:r w:rsidR="004E0E3B">
        <w:rPr>
          <w:rFonts w:ascii="Times New Roman" w:hAnsi="Times New Roman"/>
          <w:sz w:val="20"/>
          <w:lang w:val="en-GB"/>
        </w:rPr>
        <w:t xml:space="preserve"> </w:t>
      </w:r>
      <w:r w:rsidR="009341DC">
        <w:rPr>
          <w:rFonts w:ascii="Times New Roman" w:hAnsi="Times New Roman"/>
          <w:sz w:val="20"/>
          <w:lang w:val="en-GB"/>
        </w:rPr>
        <w:t xml:space="preserve">that TAI can be used for inter-CN and inter-AMF routing of TNL discovery requests (for ANR) and inter-system and inter-AMF handover requests, </w:t>
      </w:r>
      <w:proofErr w:type="gramStart"/>
      <w:r w:rsidR="009341DC">
        <w:rPr>
          <w:rFonts w:ascii="Times New Roman" w:hAnsi="Times New Roman"/>
          <w:sz w:val="20"/>
          <w:lang w:val="en-GB"/>
        </w:rPr>
        <w:t>and also</w:t>
      </w:r>
      <w:proofErr w:type="gramEnd"/>
      <w:r w:rsidR="009341DC">
        <w:rPr>
          <w:rFonts w:ascii="Times New Roman" w:hAnsi="Times New Roman"/>
          <w:sz w:val="20"/>
          <w:lang w:val="en-GB"/>
        </w:rPr>
        <w:t xml:space="preserve"> ensure that the gNB ID can be used for intra-AMF routing</w:t>
      </w:r>
      <w:r w:rsidR="00F775DC">
        <w:rPr>
          <w:rFonts w:ascii="Times New Roman" w:hAnsi="Times New Roman"/>
          <w:sz w:val="20"/>
          <w:lang w:val="en-GB"/>
        </w:rPr>
        <w:t xml:space="preserve"> in an inter-vendor compatible manner</w:t>
      </w:r>
      <w:r w:rsidR="009341DC">
        <w:rPr>
          <w:rFonts w:ascii="Times New Roman" w:hAnsi="Times New Roman"/>
          <w:sz w:val="20"/>
          <w:lang w:val="en-GB"/>
        </w:rPr>
        <w:t>.</w:t>
      </w:r>
    </w:p>
    <w:p w:rsidR="00383C8A" w:rsidRDefault="00383C8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383C8A" w:rsidRPr="00383C8A" w:rsidRDefault="00383C8A" w:rsidP="00CD4C7B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 w:rsidRPr="00383C8A">
        <w:rPr>
          <w:rFonts w:ascii="Times New Roman" w:hAnsi="Times New Roman"/>
          <w:b/>
          <w:sz w:val="20"/>
          <w:lang w:val="en-GB"/>
        </w:rPr>
        <w:t xml:space="preserve">Observation 1: Construction rules for NCGI, Global gNB ID and TAI </w:t>
      </w:r>
      <w:r w:rsidR="00620844">
        <w:rPr>
          <w:rFonts w:ascii="Times New Roman" w:hAnsi="Times New Roman"/>
          <w:b/>
          <w:sz w:val="20"/>
          <w:lang w:val="en-GB"/>
        </w:rPr>
        <w:t>should</w:t>
      </w:r>
      <w:r w:rsidRPr="00383C8A">
        <w:rPr>
          <w:rFonts w:ascii="Times New Roman" w:hAnsi="Times New Roman"/>
          <w:b/>
          <w:sz w:val="20"/>
          <w:lang w:val="en-GB"/>
        </w:rPr>
        <w:t xml:space="preserve"> preserve the available numbering space and enable routing within the core network in an inter-vendor compatible manner.</w:t>
      </w:r>
    </w:p>
    <w:p w:rsidR="005A06DB" w:rsidRDefault="005A06D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CD4C7B" w:rsidRDefault="00506C0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The summary of discussion [</w:t>
      </w:r>
      <w:r w:rsidR="00B369EB">
        <w:rPr>
          <w:rFonts w:ascii="Times New Roman" w:hAnsi="Times New Roman"/>
          <w:sz w:val="20"/>
          <w:lang w:val="en-GB"/>
        </w:rPr>
        <w:t>3</w:t>
      </w:r>
      <w:r>
        <w:rPr>
          <w:rFonts w:ascii="Times New Roman" w:hAnsi="Times New Roman"/>
          <w:sz w:val="20"/>
          <w:lang w:val="en-GB"/>
        </w:rPr>
        <w:t>] describes two potential solutions</w:t>
      </w:r>
      <w:r w:rsidR="00D234B3">
        <w:rPr>
          <w:rFonts w:ascii="Times New Roman" w:hAnsi="Times New Roman"/>
          <w:sz w:val="20"/>
          <w:lang w:val="en-GB"/>
        </w:rPr>
        <w:t xml:space="preserve"> requiring further analysis</w:t>
      </w:r>
      <w:r>
        <w:rPr>
          <w:rFonts w:ascii="Times New Roman" w:hAnsi="Times New Roman"/>
          <w:sz w:val="20"/>
          <w:lang w:val="en-GB"/>
        </w:rPr>
        <w:t>:</w:t>
      </w:r>
    </w:p>
    <w:p w:rsidR="00506C01" w:rsidRDefault="00506C01" w:rsidP="00506C01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 w:rsidRPr="00506C01">
        <w:rPr>
          <w:rFonts w:ascii="Times New Roman" w:hAnsi="Times New Roman"/>
          <w:sz w:val="20"/>
          <w:lang w:val="en-GB"/>
        </w:rPr>
        <w:t>Solution 1 –</w:t>
      </w:r>
      <w:r w:rsidR="00E80E76">
        <w:rPr>
          <w:rFonts w:ascii="Times New Roman" w:hAnsi="Times New Roman"/>
          <w:sz w:val="20"/>
          <w:lang w:val="en-GB"/>
        </w:rPr>
        <w:t xml:space="preserve"> </w:t>
      </w:r>
      <w:r w:rsidR="00F775DC">
        <w:rPr>
          <w:rFonts w:ascii="Times New Roman" w:hAnsi="Times New Roman"/>
          <w:sz w:val="20"/>
          <w:lang w:val="en-GB"/>
        </w:rPr>
        <w:t>N</w:t>
      </w:r>
      <w:r w:rsidRPr="00506C01">
        <w:rPr>
          <w:rFonts w:ascii="Times New Roman" w:hAnsi="Times New Roman"/>
          <w:sz w:val="20"/>
          <w:lang w:val="en-GB"/>
        </w:rPr>
        <w:t>o further NCGI construction rule</w:t>
      </w:r>
      <w:r w:rsidR="00F775DC">
        <w:rPr>
          <w:rFonts w:ascii="Times New Roman" w:hAnsi="Times New Roman"/>
          <w:sz w:val="20"/>
          <w:lang w:val="en-GB"/>
        </w:rPr>
        <w:t xml:space="preserve"> is needed</w:t>
      </w:r>
    </w:p>
    <w:p w:rsidR="00506C01" w:rsidRDefault="00506C01" w:rsidP="00506C01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 w:rsidRPr="00506C01">
        <w:rPr>
          <w:rFonts w:ascii="Times New Roman" w:hAnsi="Times New Roman"/>
          <w:sz w:val="20"/>
          <w:lang w:val="en-GB"/>
        </w:rPr>
        <w:t>Solution 2 – Constructing NCGI with the first PLMN entry pointing to the cell identity in SIB1</w:t>
      </w:r>
    </w:p>
    <w:p w:rsidR="00506C01" w:rsidRDefault="00506C0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E80E76" w:rsidRDefault="00E80E7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On top of this, it seems reasonable to analyse a third solution:</w:t>
      </w:r>
    </w:p>
    <w:p w:rsidR="00E80E76" w:rsidRDefault="00E80E76" w:rsidP="00E80E76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 w:rsidRPr="00506C01">
        <w:rPr>
          <w:rFonts w:ascii="Times New Roman" w:hAnsi="Times New Roman"/>
          <w:sz w:val="20"/>
          <w:lang w:val="en-GB"/>
        </w:rPr>
        <w:t xml:space="preserve">Solution </w:t>
      </w:r>
      <w:r>
        <w:rPr>
          <w:rFonts w:ascii="Times New Roman" w:hAnsi="Times New Roman"/>
          <w:sz w:val="20"/>
          <w:lang w:val="en-GB"/>
        </w:rPr>
        <w:t>3</w:t>
      </w:r>
      <w:r w:rsidRPr="00506C01">
        <w:rPr>
          <w:rFonts w:ascii="Times New Roman" w:hAnsi="Times New Roman"/>
          <w:sz w:val="20"/>
          <w:lang w:val="en-GB"/>
        </w:rPr>
        <w:t xml:space="preserve"> – Constructing NCGI with </w:t>
      </w:r>
      <w:r>
        <w:rPr>
          <w:rFonts w:ascii="Times New Roman" w:hAnsi="Times New Roman"/>
          <w:sz w:val="20"/>
          <w:lang w:val="en-GB"/>
        </w:rPr>
        <w:t xml:space="preserve">any of </w:t>
      </w:r>
      <w:r w:rsidRPr="00506C01">
        <w:rPr>
          <w:rFonts w:ascii="Times New Roman" w:hAnsi="Times New Roman"/>
          <w:sz w:val="20"/>
          <w:lang w:val="en-GB"/>
        </w:rPr>
        <w:t>the PLMN entr</w:t>
      </w:r>
      <w:r>
        <w:rPr>
          <w:rFonts w:ascii="Times New Roman" w:hAnsi="Times New Roman"/>
          <w:sz w:val="20"/>
          <w:lang w:val="en-GB"/>
        </w:rPr>
        <w:t>ies</w:t>
      </w:r>
      <w:r w:rsidRPr="00506C01">
        <w:rPr>
          <w:rFonts w:ascii="Times New Roman" w:hAnsi="Times New Roman"/>
          <w:sz w:val="20"/>
          <w:lang w:val="en-GB"/>
        </w:rPr>
        <w:t xml:space="preserve"> pointing to the cell identity in SIB1</w:t>
      </w:r>
    </w:p>
    <w:p w:rsidR="00E80E76" w:rsidRDefault="00E80E7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506C01" w:rsidRDefault="00F775D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Based on the discussion in [</w:t>
      </w:r>
      <w:r w:rsidR="00B369EB">
        <w:rPr>
          <w:rFonts w:ascii="Times New Roman" w:hAnsi="Times New Roman"/>
          <w:sz w:val="20"/>
          <w:lang w:val="en-GB"/>
        </w:rPr>
        <w:t>3</w:t>
      </w:r>
      <w:r>
        <w:rPr>
          <w:rFonts w:ascii="Times New Roman" w:hAnsi="Times New Roman"/>
          <w:sz w:val="20"/>
          <w:lang w:val="en-GB"/>
        </w:rPr>
        <w:t>], solutions for construction of the Global gNB ID and TAI should also be considered, and probably be aligned on the construction rule used for the NCGI.</w:t>
      </w:r>
    </w:p>
    <w:p w:rsidR="00506C01" w:rsidRDefault="00506C0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506C01" w:rsidRDefault="00D234B3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As highlighted in [</w:t>
      </w:r>
      <w:r w:rsidR="00B369EB">
        <w:rPr>
          <w:rFonts w:ascii="Times New Roman" w:hAnsi="Times New Roman"/>
          <w:sz w:val="20"/>
          <w:lang w:val="en-GB"/>
        </w:rPr>
        <w:t>3</w:t>
      </w:r>
      <w:r>
        <w:rPr>
          <w:rFonts w:ascii="Times New Roman" w:hAnsi="Times New Roman"/>
          <w:sz w:val="20"/>
          <w:lang w:val="en-GB"/>
        </w:rPr>
        <w:t>], t</w:t>
      </w:r>
      <w:r w:rsidR="00506C01">
        <w:rPr>
          <w:rFonts w:ascii="Times New Roman" w:hAnsi="Times New Roman"/>
          <w:sz w:val="20"/>
          <w:lang w:val="en-GB"/>
        </w:rPr>
        <w:t xml:space="preserve">he following rules for use of PLMN-IDs are </w:t>
      </w:r>
      <w:r w:rsidR="00F775DC">
        <w:rPr>
          <w:rFonts w:ascii="Times New Roman" w:hAnsi="Times New Roman"/>
          <w:sz w:val="20"/>
          <w:lang w:val="en-GB"/>
        </w:rPr>
        <w:t xml:space="preserve">currently </w:t>
      </w:r>
      <w:r w:rsidR="00506C01">
        <w:rPr>
          <w:rFonts w:ascii="Times New Roman" w:hAnsi="Times New Roman"/>
          <w:sz w:val="20"/>
          <w:lang w:val="en-GB"/>
        </w:rPr>
        <w:t>defined in TS 38.300:</w:t>
      </w:r>
    </w:p>
    <w:p w:rsidR="00506C01" w:rsidRPr="002E50A6" w:rsidRDefault="00506C01" w:rsidP="00506C01">
      <w:pPr>
        <w:pStyle w:val="B1"/>
      </w:pPr>
      <w:r w:rsidRPr="002E50A6">
        <w:t>-</w:t>
      </w:r>
      <w:r w:rsidRPr="002E50A6">
        <w:tab/>
        <w:t xml:space="preserve">NR Cell Global Identifier (NCGI): used to identify NR cells globally. </w:t>
      </w:r>
      <w:r w:rsidRPr="00CA2A72">
        <w:t>The NCGI is constructed from the PLMN identity the cell belongs to a</w:t>
      </w:r>
      <w:r w:rsidRPr="002E50A6">
        <w:t>nd the NR Cell Identity (NCI) of the cell.</w:t>
      </w:r>
    </w:p>
    <w:p w:rsidR="00506C01" w:rsidRPr="002E50A6" w:rsidRDefault="00506C01" w:rsidP="00506C01">
      <w:pPr>
        <w:pStyle w:val="B1"/>
      </w:pPr>
      <w:r w:rsidRPr="002E50A6">
        <w:t>-</w:t>
      </w:r>
      <w:r w:rsidRPr="002E50A6">
        <w:tab/>
        <w:t xml:space="preserve">Global gNB ID: used to identify </w:t>
      </w:r>
      <w:proofErr w:type="spellStart"/>
      <w:r w:rsidRPr="002E50A6">
        <w:t>gNBs</w:t>
      </w:r>
      <w:proofErr w:type="spellEnd"/>
      <w:r w:rsidRPr="002E50A6">
        <w:t xml:space="preserve"> globally. </w:t>
      </w:r>
      <w:r w:rsidRPr="00CA2A72">
        <w:t>The Global gNB ID is constructed from the PLMN identity the gNB belongs to and t</w:t>
      </w:r>
      <w:r w:rsidRPr="002E50A6">
        <w:t xml:space="preserve">he gNB ID. </w:t>
      </w:r>
      <w:r w:rsidRPr="00506C01">
        <w:rPr>
          <w:highlight w:val="yellow"/>
        </w:rPr>
        <w:t>The MCC and MNC are the same as included in the NCGI.</w:t>
      </w:r>
    </w:p>
    <w:p w:rsidR="00506C01" w:rsidRPr="002E50A6" w:rsidRDefault="00506C01" w:rsidP="00506C01">
      <w:pPr>
        <w:pStyle w:val="B1"/>
      </w:pPr>
      <w:r w:rsidRPr="002E50A6">
        <w:t>-</w:t>
      </w:r>
      <w:r w:rsidRPr="002E50A6">
        <w:tab/>
        <w:t xml:space="preserve">Tracking Area identity (TAI): used to identify tracking areas. </w:t>
      </w:r>
      <w:r w:rsidRPr="00CA2A72">
        <w:t>The TAI is constructed from the PLMN identity the tracking area belongs to and the TAC</w:t>
      </w:r>
      <w:r w:rsidRPr="002E50A6">
        <w:t xml:space="preserve"> (Tracking Area Code) of the Tracking Area.</w:t>
      </w:r>
    </w:p>
    <w:p w:rsidR="007A6BA2" w:rsidRDefault="00D234B3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lastRenderedPageBreak/>
        <w:t xml:space="preserve">From the above, </w:t>
      </w:r>
      <w:proofErr w:type="gramStart"/>
      <w:r w:rsidR="00CA2A72">
        <w:rPr>
          <w:rFonts w:ascii="Times New Roman" w:hAnsi="Times New Roman"/>
          <w:sz w:val="20"/>
          <w:lang w:val="en-GB"/>
        </w:rPr>
        <w:t>it can be seen that the</w:t>
      </w:r>
      <w:proofErr w:type="gramEnd"/>
      <w:r w:rsidR="00CA2A72">
        <w:rPr>
          <w:rFonts w:ascii="Times New Roman" w:hAnsi="Times New Roman"/>
          <w:sz w:val="20"/>
          <w:lang w:val="en-GB"/>
        </w:rPr>
        <w:t xml:space="preserve"> same PLMN-ID is included in the Global gNB ID and in the NCGI. </w:t>
      </w:r>
      <w:r w:rsidR="00E80E76">
        <w:rPr>
          <w:rFonts w:ascii="Times New Roman" w:hAnsi="Times New Roman"/>
          <w:sz w:val="20"/>
          <w:lang w:val="en-GB"/>
        </w:rPr>
        <w:t xml:space="preserve">It is also </w:t>
      </w:r>
      <w:r w:rsidR="00F1568C">
        <w:rPr>
          <w:rFonts w:ascii="Times New Roman" w:hAnsi="Times New Roman"/>
          <w:sz w:val="20"/>
          <w:lang w:val="en-GB"/>
        </w:rPr>
        <w:t>stated</w:t>
      </w:r>
      <w:r w:rsidR="00E80E76">
        <w:rPr>
          <w:rFonts w:ascii="Times New Roman" w:hAnsi="Times New Roman"/>
          <w:sz w:val="20"/>
          <w:lang w:val="en-GB"/>
        </w:rPr>
        <w:t xml:space="preserve"> in TS 38.300 clause 4.6:</w:t>
      </w:r>
      <w:r w:rsidR="00F1568C">
        <w:rPr>
          <w:rFonts w:ascii="Times New Roman" w:hAnsi="Times New Roman"/>
          <w:sz w:val="20"/>
          <w:lang w:val="en-GB"/>
        </w:rPr>
        <w:t xml:space="preserve"> </w:t>
      </w:r>
      <w:r w:rsidR="00E80E76">
        <w:rPr>
          <w:rFonts w:ascii="Times New Roman" w:hAnsi="Times New Roman"/>
          <w:sz w:val="20"/>
          <w:lang w:val="en-GB"/>
        </w:rPr>
        <w:t>“</w:t>
      </w:r>
      <w:r w:rsidR="00E80E76" w:rsidRPr="00E80E76">
        <w:rPr>
          <w:rFonts w:ascii="Times New Roman" w:hAnsi="Times New Roman"/>
          <w:i/>
          <w:sz w:val="20"/>
          <w:lang w:val="en-GB"/>
        </w:rPr>
        <w:t>Each Cell Identity associated with a subset of PLMNs identifies its serving NG-RAN node.</w:t>
      </w:r>
      <w:r w:rsidR="00E80E76">
        <w:rPr>
          <w:rFonts w:ascii="Times New Roman" w:hAnsi="Times New Roman"/>
          <w:sz w:val="20"/>
          <w:lang w:val="en-GB"/>
        </w:rPr>
        <w:t>”</w:t>
      </w:r>
      <w:r w:rsidR="00C07417">
        <w:rPr>
          <w:rFonts w:ascii="Times New Roman" w:hAnsi="Times New Roman"/>
          <w:sz w:val="20"/>
          <w:lang w:val="en-GB"/>
        </w:rPr>
        <w:t xml:space="preserve">. </w:t>
      </w:r>
      <w:r w:rsidR="007A6BA2">
        <w:rPr>
          <w:rFonts w:ascii="Times New Roman" w:hAnsi="Times New Roman"/>
          <w:sz w:val="20"/>
          <w:lang w:val="en-GB"/>
        </w:rPr>
        <w:t xml:space="preserve">These sentences from </w:t>
      </w:r>
      <w:r w:rsidR="005A06DB">
        <w:rPr>
          <w:rFonts w:ascii="Times New Roman" w:hAnsi="Times New Roman"/>
          <w:sz w:val="20"/>
          <w:lang w:val="en-GB"/>
        </w:rPr>
        <w:t xml:space="preserve">the </w:t>
      </w:r>
      <w:r w:rsidR="007A6BA2">
        <w:rPr>
          <w:rFonts w:ascii="Times New Roman" w:hAnsi="Times New Roman"/>
          <w:sz w:val="20"/>
          <w:lang w:val="en-GB"/>
        </w:rPr>
        <w:t>stage 2 specification link the Global gNB ID and the NCGI together, and the NCGI therefore contains the PLMN-ID and the gNB ID used in the Global gNB ID.</w:t>
      </w:r>
      <w:r w:rsidR="005A06DB">
        <w:rPr>
          <w:rFonts w:ascii="Times New Roman" w:hAnsi="Times New Roman"/>
          <w:sz w:val="20"/>
          <w:lang w:val="en-GB"/>
        </w:rPr>
        <w:t xml:space="preserve"> </w:t>
      </w:r>
    </w:p>
    <w:p w:rsidR="003E01A5" w:rsidRDefault="003E01A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7A6BA2" w:rsidRPr="005A06DB" w:rsidRDefault="005A06DB" w:rsidP="00CD4C7B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 w:rsidRPr="005A06DB">
        <w:rPr>
          <w:rFonts w:ascii="Times New Roman" w:hAnsi="Times New Roman"/>
          <w:b/>
          <w:sz w:val="20"/>
          <w:lang w:val="en-GB"/>
        </w:rPr>
        <w:t>Observation</w:t>
      </w:r>
      <w:r w:rsidR="00383C8A">
        <w:rPr>
          <w:rFonts w:ascii="Times New Roman" w:hAnsi="Times New Roman"/>
          <w:b/>
          <w:sz w:val="20"/>
          <w:lang w:val="en-GB"/>
        </w:rPr>
        <w:t xml:space="preserve"> 2</w:t>
      </w:r>
      <w:r w:rsidRPr="005A06DB">
        <w:rPr>
          <w:rFonts w:ascii="Times New Roman" w:hAnsi="Times New Roman"/>
          <w:b/>
          <w:sz w:val="20"/>
          <w:lang w:val="en-GB"/>
        </w:rPr>
        <w:t>: Current stage 2 specification links the Global gNB ID and the NCGI together, and the NCGI therefore contains the PLMN-ID and the gNB ID used in the Global gNB ID</w:t>
      </w:r>
    </w:p>
    <w:p w:rsidR="00506C01" w:rsidRDefault="00506C0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E80E76" w:rsidRDefault="005A06D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This is illustrated in the figure below for the case where multiple cell IDs are broadcast in SIB1</w:t>
      </w:r>
      <w:r w:rsidR="00270A83">
        <w:rPr>
          <w:rFonts w:ascii="Times New Roman" w:hAnsi="Times New Roman"/>
          <w:sz w:val="20"/>
          <w:lang w:val="en-GB"/>
        </w:rPr>
        <w:t xml:space="preserve">. In this figure, the subsets of the broadcast PLMN-IDs to which each of the broadcast cell IDs are associated </w:t>
      </w:r>
      <w:r w:rsidR="00C37A83">
        <w:rPr>
          <w:rFonts w:ascii="Times New Roman" w:hAnsi="Times New Roman"/>
          <w:sz w:val="20"/>
          <w:lang w:val="en-GB"/>
        </w:rPr>
        <w:t xml:space="preserve">are represented </w:t>
      </w:r>
      <w:r w:rsidR="00B125F6">
        <w:rPr>
          <w:rFonts w:ascii="Times New Roman" w:hAnsi="Times New Roman"/>
          <w:sz w:val="20"/>
          <w:lang w:val="en-GB"/>
        </w:rPr>
        <w:t xml:space="preserve">in columns, and </w:t>
      </w:r>
      <w:proofErr w:type="gramStart"/>
      <w:r w:rsidR="00B125F6">
        <w:rPr>
          <w:rFonts w:ascii="Times New Roman" w:hAnsi="Times New Roman"/>
          <w:sz w:val="20"/>
          <w:lang w:val="en-GB"/>
        </w:rPr>
        <w:t>as a consequence of</w:t>
      </w:r>
      <w:proofErr w:type="gramEnd"/>
      <w:r w:rsidR="00B125F6">
        <w:rPr>
          <w:rFonts w:ascii="Times New Roman" w:hAnsi="Times New Roman"/>
          <w:sz w:val="20"/>
          <w:lang w:val="en-GB"/>
        </w:rPr>
        <w:t xml:space="preserve"> the link</w:t>
      </w:r>
      <w:r w:rsidR="001811DE">
        <w:rPr>
          <w:rFonts w:ascii="Times New Roman" w:hAnsi="Times New Roman"/>
          <w:sz w:val="20"/>
          <w:lang w:val="en-GB"/>
        </w:rPr>
        <w:t xml:space="preserve"> between</w:t>
      </w:r>
      <w:r w:rsidR="00B125F6">
        <w:rPr>
          <w:rFonts w:ascii="Times New Roman" w:hAnsi="Times New Roman"/>
          <w:sz w:val="20"/>
          <w:lang w:val="en-GB"/>
        </w:rPr>
        <w:t xml:space="preserve"> the Global </w:t>
      </w:r>
      <w:proofErr w:type="spellStart"/>
      <w:r w:rsidR="00B125F6">
        <w:rPr>
          <w:rFonts w:ascii="Times New Roman" w:hAnsi="Times New Roman"/>
          <w:sz w:val="20"/>
          <w:lang w:val="en-GB"/>
        </w:rPr>
        <w:t>gND</w:t>
      </w:r>
      <w:proofErr w:type="spellEnd"/>
      <w:r w:rsidR="00B125F6">
        <w:rPr>
          <w:rFonts w:ascii="Times New Roman" w:hAnsi="Times New Roman"/>
          <w:sz w:val="20"/>
          <w:lang w:val="en-GB"/>
        </w:rPr>
        <w:t xml:space="preserve"> ID and the NCGI, each</w:t>
      </w:r>
      <w:r w:rsidR="001811DE">
        <w:rPr>
          <w:rFonts w:ascii="Times New Roman" w:hAnsi="Times New Roman"/>
          <w:sz w:val="20"/>
          <w:lang w:val="en-GB"/>
        </w:rPr>
        <w:t xml:space="preserve"> column represents a logical gNB.</w:t>
      </w:r>
    </w:p>
    <w:p w:rsidR="001811DE" w:rsidRDefault="001811D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1811DE" w:rsidRDefault="002E726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</w:r>
      <w:r>
        <w:rPr>
          <w:rFonts w:ascii="Times New Roman" w:hAnsi="Times New Roman"/>
          <w:sz w:val="20"/>
          <w:lang w:val="en-GB"/>
        </w:rPr>
        <w:pict>
          <v:group id="_x0000_s1027" editas="canvas" style="width:482.05pt;height:289.25pt;mso-position-horizontal-relative:char;mso-position-vertical-relative:line" coordorigin="2356,791" coordsize="7200,4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position:absolute;left:2356;top:791;width:7200;height:4320" o:preferrelative="f" filled="t" stroked="t">
              <v:fill o:detectmouseclick="t"/>
              <v:path o:extrusionok="t" o:connecttype="none"/>
              <o:lock v:ext="edit" text="t"/>
            </v:shape>
            <v:shape id="_x0000_s1068" type="#_x0000_t75" style="position:absolute;left:2367;top:791;width:7189;height:4127">
              <v:imagedata r:id="rId7" o:title=""/>
            </v:shape>
            <w10:anchorlock/>
          </v:group>
        </w:pict>
      </w:r>
    </w:p>
    <w:p w:rsidR="003E01A5" w:rsidRPr="008A31AD" w:rsidRDefault="00331E75" w:rsidP="008A31AD">
      <w:pPr>
        <w:pStyle w:val="00BodyText"/>
        <w:spacing w:after="0"/>
        <w:jc w:val="center"/>
        <w:rPr>
          <w:rFonts w:ascii="Times New Roman" w:hAnsi="Times New Roman"/>
          <w:b/>
          <w:sz w:val="20"/>
        </w:rPr>
      </w:pPr>
      <w:r w:rsidRPr="008A31AD">
        <w:rPr>
          <w:rFonts w:ascii="Times New Roman" w:hAnsi="Times New Roman"/>
          <w:b/>
          <w:sz w:val="20"/>
          <w:lang w:val="en-GB"/>
        </w:rPr>
        <w:t>Figure 1</w:t>
      </w:r>
      <w:r w:rsidR="008A31AD" w:rsidRPr="008A31AD">
        <w:rPr>
          <w:rFonts w:ascii="Times New Roman" w:hAnsi="Times New Roman"/>
          <w:b/>
          <w:sz w:val="20"/>
          <w:lang w:val="en-GB"/>
        </w:rPr>
        <w:t xml:space="preserve">: </w:t>
      </w:r>
      <w:r w:rsidR="008A31AD" w:rsidRPr="008A31AD">
        <w:rPr>
          <w:rFonts w:ascii="Times New Roman" w:hAnsi="Times New Roman"/>
          <w:sz w:val="20"/>
          <w:lang w:val="en-GB"/>
        </w:rPr>
        <w:t>The elements in the table correspond to PLMN-IDs broadcast in SIB1 (</w:t>
      </w:r>
      <w:r w:rsidR="008A31AD">
        <w:rPr>
          <w:rFonts w:ascii="Times New Roman" w:hAnsi="Times New Roman"/>
          <w:sz w:val="20"/>
          <w:lang w:val="en-GB"/>
        </w:rPr>
        <w:t xml:space="preserve">RRC </w:t>
      </w:r>
      <w:proofErr w:type="spellStart"/>
      <w:r w:rsidR="008A31AD" w:rsidRPr="008A31AD">
        <w:rPr>
          <w:rFonts w:ascii="Times New Roman" w:hAnsi="Times New Roman"/>
          <w:i/>
          <w:sz w:val="20"/>
          <w:lang w:val="en-GB"/>
        </w:rPr>
        <w:t>PLMNIdentifyInfoList</w:t>
      </w:r>
      <w:proofErr w:type="spellEnd"/>
      <w:r w:rsidR="008A31AD" w:rsidRPr="008A31AD">
        <w:rPr>
          <w:rFonts w:ascii="Times New Roman" w:hAnsi="Times New Roman"/>
          <w:sz w:val="20"/>
          <w:lang w:val="en-GB"/>
        </w:rPr>
        <w:t xml:space="preserve"> IE).</w:t>
      </w:r>
    </w:p>
    <w:p w:rsidR="003E01A5" w:rsidRDefault="003E01A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331E75" w:rsidRPr="008A31AD" w:rsidRDefault="008A31AD" w:rsidP="00CD4C7B">
      <w:pPr>
        <w:pStyle w:val="00BodyText"/>
        <w:spacing w:after="0"/>
        <w:rPr>
          <w:rFonts w:ascii="Times New Roman" w:hAnsi="Times New Roman"/>
          <w:b/>
          <w:sz w:val="20"/>
          <w:u w:val="single"/>
          <w:lang w:val="en-GB"/>
        </w:rPr>
      </w:pPr>
      <w:r w:rsidRPr="008A31AD">
        <w:rPr>
          <w:rFonts w:ascii="Times New Roman" w:hAnsi="Times New Roman"/>
          <w:b/>
          <w:sz w:val="20"/>
          <w:u w:val="single"/>
          <w:lang w:val="en-GB"/>
        </w:rPr>
        <w:t>Solution evaluation:</w:t>
      </w:r>
    </w:p>
    <w:p w:rsidR="008A31AD" w:rsidRDefault="008A31A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8A31AD" w:rsidRDefault="008A31A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8A31AD">
        <w:rPr>
          <w:rFonts w:ascii="Times New Roman" w:hAnsi="Times New Roman"/>
          <w:sz w:val="20"/>
          <w:lang w:val="en-GB"/>
        </w:rPr>
        <w:t>Solution 1 – No further NCGI construction rule is needed</w:t>
      </w:r>
      <w:r>
        <w:rPr>
          <w:rFonts w:ascii="Times New Roman" w:hAnsi="Times New Roman"/>
          <w:sz w:val="20"/>
          <w:lang w:val="en-GB"/>
        </w:rPr>
        <w:t>:</w:t>
      </w:r>
    </w:p>
    <w:p w:rsidR="008A31AD" w:rsidRDefault="008A31A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 careful reader may deduce from current specification that only PLMN-IDs pointing to the cell ID (i.e. belonging to the same column in Fig. 1) are eligible for construction</w:t>
      </w:r>
      <w:r w:rsidR="00F129F6">
        <w:rPr>
          <w:rFonts w:ascii="Times New Roman" w:hAnsi="Times New Roman"/>
          <w:sz w:val="20"/>
          <w:lang w:val="en-GB"/>
        </w:rPr>
        <w:t xml:space="preserve"> of the NCGI. But construction of NCGI also impacts construction of Global gNB ID and TAI, used for routing, so we believe that NCGI construction rule should be explicitly</w:t>
      </w:r>
      <w:r>
        <w:rPr>
          <w:rFonts w:ascii="Times New Roman" w:hAnsi="Times New Roman"/>
          <w:sz w:val="20"/>
          <w:lang w:val="en-GB"/>
        </w:rPr>
        <w:t xml:space="preserve"> </w:t>
      </w:r>
      <w:r w:rsidR="00F129F6">
        <w:rPr>
          <w:rFonts w:ascii="Times New Roman" w:hAnsi="Times New Roman"/>
          <w:sz w:val="20"/>
          <w:lang w:val="en-GB"/>
        </w:rPr>
        <w:t>stated in the specification.</w:t>
      </w:r>
    </w:p>
    <w:p w:rsidR="00F129F6" w:rsidRDefault="00F129F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F129F6" w:rsidRDefault="00F129F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506C01">
        <w:rPr>
          <w:rFonts w:ascii="Times New Roman" w:hAnsi="Times New Roman"/>
          <w:sz w:val="20"/>
          <w:lang w:val="en-GB"/>
        </w:rPr>
        <w:t>Solution 2 – Constructing NCGI with the first PLMN entry pointing to the cell identity in SIB1</w:t>
      </w:r>
      <w:r>
        <w:rPr>
          <w:rFonts w:ascii="Times New Roman" w:hAnsi="Times New Roman"/>
          <w:sz w:val="20"/>
          <w:lang w:val="en-GB"/>
        </w:rPr>
        <w:t>:</w:t>
      </w:r>
    </w:p>
    <w:p w:rsidR="00F129F6" w:rsidRDefault="00F129F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This provides a clear and non-ambiguous construction rule. It also has the advantage of providing continuity with the legacy construction rule based on primary PLMN-ID. Furthermore, numbering spaces under each PLMN-ID are kept independent, hence avoiding unnecessary loss of numbering space.</w:t>
      </w:r>
    </w:p>
    <w:p w:rsidR="00F129F6" w:rsidRDefault="00F129F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F129F6" w:rsidRDefault="00F129F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506C01">
        <w:rPr>
          <w:rFonts w:ascii="Times New Roman" w:hAnsi="Times New Roman"/>
          <w:sz w:val="20"/>
          <w:lang w:val="en-GB"/>
        </w:rPr>
        <w:t xml:space="preserve">Solution </w:t>
      </w:r>
      <w:r>
        <w:rPr>
          <w:rFonts w:ascii="Times New Roman" w:hAnsi="Times New Roman"/>
          <w:sz w:val="20"/>
          <w:lang w:val="en-GB"/>
        </w:rPr>
        <w:t>3</w:t>
      </w:r>
      <w:r w:rsidRPr="00506C01">
        <w:rPr>
          <w:rFonts w:ascii="Times New Roman" w:hAnsi="Times New Roman"/>
          <w:sz w:val="20"/>
          <w:lang w:val="en-GB"/>
        </w:rPr>
        <w:t xml:space="preserve"> – Constructing NCGI with </w:t>
      </w:r>
      <w:r>
        <w:rPr>
          <w:rFonts w:ascii="Times New Roman" w:hAnsi="Times New Roman"/>
          <w:sz w:val="20"/>
          <w:lang w:val="en-GB"/>
        </w:rPr>
        <w:t xml:space="preserve">any of </w:t>
      </w:r>
      <w:r w:rsidRPr="00506C01">
        <w:rPr>
          <w:rFonts w:ascii="Times New Roman" w:hAnsi="Times New Roman"/>
          <w:sz w:val="20"/>
          <w:lang w:val="en-GB"/>
        </w:rPr>
        <w:t>the PLMN entr</w:t>
      </w:r>
      <w:r>
        <w:rPr>
          <w:rFonts w:ascii="Times New Roman" w:hAnsi="Times New Roman"/>
          <w:sz w:val="20"/>
          <w:lang w:val="en-GB"/>
        </w:rPr>
        <w:t>ies</w:t>
      </w:r>
      <w:r w:rsidRPr="00506C01">
        <w:rPr>
          <w:rFonts w:ascii="Times New Roman" w:hAnsi="Times New Roman"/>
          <w:sz w:val="20"/>
          <w:lang w:val="en-GB"/>
        </w:rPr>
        <w:t xml:space="preserve"> pointing to the cell identity in SIB1</w:t>
      </w:r>
      <w:r>
        <w:rPr>
          <w:rFonts w:ascii="Times New Roman" w:hAnsi="Times New Roman"/>
          <w:sz w:val="20"/>
          <w:lang w:val="en-GB"/>
        </w:rPr>
        <w:t>:</w:t>
      </w:r>
    </w:p>
    <w:p w:rsidR="00F129F6" w:rsidRDefault="008A5FE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With this solution, the network could use any of the PLMN-IDs in the same column in Fig. 1 to construct e.g. the target Global gNB ID to be used as target node for handover. </w:t>
      </w:r>
      <w:r w:rsidR="00F129F6">
        <w:rPr>
          <w:rFonts w:ascii="Times New Roman" w:hAnsi="Times New Roman"/>
          <w:sz w:val="20"/>
          <w:lang w:val="en-GB"/>
        </w:rPr>
        <w:t xml:space="preserve">Although also this approach </w:t>
      </w:r>
      <w:r w:rsidR="00723014">
        <w:rPr>
          <w:rFonts w:ascii="Times New Roman" w:hAnsi="Times New Roman"/>
          <w:sz w:val="20"/>
          <w:lang w:val="en-GB"/>
        </w:rPr>
        <w:t xml:space="preserve">may </w:t>
      </w:r>
      <w:r w:rsidR="00F129F6">
        <w:rPr>
          <w:rFonts w:ascii="Times New Roman" w:hAnsi="Times New Roman"/>
          <w:sz w:val="20"/>
          <w:lang w:val="en-GB"/>
        </w:rPr>
        <w:t xml:space="preserve">provide </w:t>
      </w:r>
      <w:r w:rsidR="00723014">
        <w:rPr>
          <w:rFonts w:ascii="Times New Roman" w:hAnsi="Times New Roman"/>
          <w:sz w:val="20"/>
          <w:lang w:val="en-GB"/>
        </w:rPr>
        <w:t xml:space="preserve">a </w:t>
      </w:r>
      <w:r>
        <w:rPr>
          <w:rFonts w:ascii="Times New Roman" w:hAnsi="Times New Roman"/>
          <w:sz w:val="20"/>
          <w:lang w:val="en-GB"/>
        </w:rPr>
        <w:t xml:space="preserve">sufficiently </w:t>
      </w:r>
      <w:r w:rsidR="00723014">
        <w:rPr>
          <w:rFonts w:ascii="Times New Roman" w:hAnsi="Times New Roman"/>
          <w:sz w:val="20"/>
          <w:lang w:val="en-GB"/>
        </w:rPr>
        <w:t xml:space="preserve">clear construction rule, routing algorithms in the core network will need to </w:t>
      </w:r>
      <w:proofErr w:type="gramStart"/>
      <w:r w:rsidR="00723014">
        <w:rPr>
          <w:rFonts w:ascii="Times New Roman" w:hAnsi="Times New Roman"/>
          <w:sz w:val="20"/>
          <w:lang w:val="en-GB"/>
        </w:rPr>
        <w:t>take into account</w:t>
      </w:r>
      <w:proofErr w:type="gramEnd"/>
      <w:r w:rsidR="00723014">
        <w:rPr>
          <w:rFonts w:ascii="Times New Roman" w:hAnsi="Times New Roman"/>
          <w:sz w:val="20"/>
          <w:lang w:val="en-GB"/>
        </w:rPr>
        <w:t xml:space="preserve"> </w:t>
      </w:r>
      <w:r w:rsidR="00383C8A">
        <w:rPr>
          <w:rFonts w:ascii="Times New Roman" w:hAnsi="Times New Roman"/>
          <w:sz w:val="20"/>
          <w:lang w:val="en-GB"/>
        </w:rPr>
        <w:t xml:space="preserve">the resulting </w:t>
      </w:r>
      <w:r w:rsidR="00723014">
        <w:rPr>
          <w:rFonts w:ascii="Times New Roman" w:hAnsi="Times New Roman"/>
          <w:sz w:val="20"/>
          <w:lang w:val="en-GB"/>
        </w:rPr>
        <w:t xml:space="preserve">ambiguity </w:t>
      </w:r>
      <w:r w:rsidR="00383C8A">
        <w:rPr>
          <w:rFonts w:ascii="Times New Roman" w:hAnsi="Times New Roman"/>
          <w:sz w:val="20"/>
          <w:lang w:val="en-GB"/>
        </w:rPr>
        <w:t>in particular for the Global gNB ID. Interconnection of numbering spaces under different PLMN-IDs also result in loss of numbering space.</w:t>
      </w:r>
    </w:p>
    <w:p w:rsidR="00383C8A" w:rsidRDefault="00383C8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383C8A" w:rsidRDefault="00383C8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lastRenderedPageBreak/>
        <w:t>It is therefore proposed to adopt solution 2, with corresponding alignment of construction rule for Global gNB ID and TAI.</w:t>
      </w:r>
      <w:r w:rsidR="00366C7B">
        <w:rPr>
          <w:rFonts w:ascii="Times New Roman" w:hAnsi="Times New Roman"/>
          <w:sz w:val="20"/>
          <w:lang w:val="en-GB"/>
        </w:rPr>
        <w:t xml:space="preserve"> In this way, </w:t>
      </w:r>
      <w:r w:rsidR="00366C7B" w:rsidRPr="00366C7B">
        <w:rPr>
          <w:rFonts w:ascii="Times New Roman" w:hAnsi="Times New Roman"/>
          <w:sz w:val="20"/>
          <w:lang w:val="en-GB"/>
        </w:rPr>
        <w:t xml:space="preserve">the PLMN-IDs in the first row </w:t>
      </w:r>
      <w:r w:rsidR="00366C7B">
        <w:rPr>
          <w:rFonts w:ascii="Times New Roman" w:hAnsi="Times New Roman"/>
          <w:sz w:val="20"/>
          <w:lang w:val="en-GB"/>
        </w:rPr>
        <w:t xml:space="preserve">of the table in Fig. 1 </w:t>
      </w:r>
      <w:r w:rsidR="00366C7B" w:rsidRPr="00366C7B">
        <w:rPr>
          <w:rFonts w:ascii="Times New Roman" w:hAnsi="Times New Roman"/>
          <w:sz w:val="20"/>
          <w:lang w:val="en-GB"/>
        </w:rPr>
        <w:t>is used for construction of Global gNB ID, NCGI and TAI</w:t>
      </w:r>
      <w:r w:rsidR="00366C7B">
        <w:rPr>
          <w:rFonts w:ascii="Times New Roman" w:hAnsi="Times New Roman"/>
          <w:sz w:val="20"/>
          <w:lang w:val="en-GB"/>
        </w:rPr>
        <w:t>.</w:t>
      </w:r>
    </w:p>
    <w:p w:rsidR="00383C8A" w:rsidRDefault="00383C8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383C8A" w:rsidRPr="00383C8A" w:rsidRDefault="00383C8A" w:rsidP="00CD4C7B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 w:rsidRPr="00383C8A">
        <w:rPr>
          <w:rFonts w:ascii="Times New Roman" w:hAnsi="Times New Roman"/>
          <w:b/>
          <w:sz w:val="20"/>
          <w:lang w:val="en-GB"/>
        </w:rPr>
        <w:t>Proposal: Adopt solution 2 (constructing NCGI with the first PLMN entry pointing to the cell identity in SIB1), with corresponding alignment of construction rule</w:t>
      </w:r>
      <w:r>
        <w:rPr>
          <w:rFonts w:ascii="Times New Roman" w:hAnsi="Times New Roman"/>
          <w:b/>
          <w:sz w:val="20"/>
          <w:lang w:val="en-GB"/>
        </w:rPr>
        <w:t>s</w:t>
      </w:r>
      <w:r w:rsidRPr="00383C8A">
        <w:rPr>
          <w:rFonts w:ascii="Times New Roman" w:hAnsi="Times New Roman"/>
          <w:b/>
          <w:sz w:val="20"/>
          <w:lang w:val="en-GB"/>
        </w:rPr>
        <w:t xml:space="preserve"> for Global gNB ID and TAI.</w:t>
      </w:r>
    </w:p>
    <w:p w:rsidR="00331E75" w:rsidRDefault="00331E7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152B8F" w:rsidRDefault="003B3EE3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For the NCGI definition update</w:t>
      </w:r>
      <w:r w:rsidR="004238B1">
        <w:rPr>
          <w:rFonts w:ascii="Times New Roman" w:hAnsi="Times New Roman"/>
          <w:sz w:val="20"/>
          <w:lang w:val="en-GB"/>
        </w:rPr>
        <w:t xml:space="preserve"> in TS 38.300</w:t>
      </w:r>
      <w:r>
        <w:rPr>
          <w:rFonts w:ascii="Times New Roman" w:hAnsi="Times New Roman"/>
          <w:sz w:val="20"/>
          <w:lang w:val="en-GB"/>
        </w:rPr>
        <w:t xml:space="preserve"> we would like to propose:</w:t>
      </w:r>
    </w:p>
    <w:p w:rsidR="00421DA3" w:rsidRDefault="00421DA3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670E17" w:rsidRPr="00991232" w:rsidRDefault="00670E17" w:rsidP="00670E17">
      <w:pPr>
        <w:pStyle w:val="B1"/>
      </w:pPr>
      <w:r w:rsidRPr="00991232">
        <w:t>-</w:t>
      </w:r>
      <w:r w:rsidRPr="00991232">
        <w:tab/>
        <w:t>NR Cell Global Identifier (NCGI): used to identify NR cells globally. The NCGI is constructed from the PLMN identity the cell belongs to and the NR Cell Identity (NCI) of the cell.</w:t>
      </w:r>
      <w:r>
        <w:t xml:space="preserve"> </w:t>
      </w:r>
      <w:r>
        <w:rPr>
          <w:color w:val="FF0000"/>
          <w:u w:val="single"/>
          <w:lang w:val="en-US" w:eastAsia="ko-KR"/>
        </w:rPr>
        <w:t xml:space="preserve">The included PLMN identity is the first PLMN identity </w:t>
      </w:r>
      <w:r w:rsidR="003F03DF">
        <w:rPr>
          <w:color w:val="FF0000"/>
          <w:u w:val="single"/>
          <w:lang w:val="en-US" w:eastAsia="ko-KR"/>
        </w:rPr>
        <w:t>broadcast</w:t>
      </w:r>
      <w:r>
        <w:rPr>
          <w:color w:val="FF0000"/>
          <w:u w:val="single"/>
          <w:lang w:val="en-US" w:eastAsia="ko-KR"/>
        </w:rPr>
        <w:t xml:space="preserve"> for this NCI in SIB1.</w:t>
      </w:r>
    </w:p>
    <w:p w:rsidR="003B3EE3" w:rsidRPr="00972FD7" w:rsidRDefault="003B3EE3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:rsidR="00CD4C7B" w:rsidRDefault="00383C8A" w:rsidP="00CD4C7B">
      <w:r>
        <w:t>We have observed:</w:t>
      </w:r>
    </w:p>
    <w:p w:rsidR="00383C8A" w:rsidRPr="00383C8A" w:rsidRDefault="00383C8A" w:rsidP="00383C8A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 w:rsidRPr="00383C8A">
        <w:rPr>
          <w:rFonts w:ascii="Times New Roman" w:hAnsi="Times New Roman"/>
          <w:b/>
          <w:sz w:val="20"/>
          <w:lang w:val="en-GB"/>
        </w:rPr>
        <w:t xml:space="preserve">Observation 1: Construction rules for NCGI, Global gNB ID and TAI </w:t>
      </w:r>
      <w:r w:rsidR="00620844">
        <w:rPr>
          <w:rFonts w:ascii="Times New Roman" w:hAnsi="Times New Roman"/>
          <w:b/>
          <w:sz w:val="20"/>
          <w:lang w:val="en-GB"/>
        </w:rPr>
        <w:t>should</w:t>
      </w:r>
      <w:r w:rsidRPr="00383C8A">
        <w:rPr>
          <w:rFonts w:ascii="Times New Roman" w:hAnsi="Times New Roman"/>
          <w:b/>
          <w:sz w:val="20"/>
          <w:lang w:val="en-GB"/>
        </w:rPr>
        <w:t xml:space="preserve"> preserve the available numbering space and enable routing within the core network in an inter-vendor compatible manner.</w:t>
      </w:r>
    </w:p>
    <w:p w:rsidR="00383C8A" w:rsidRDefault="00383C8A" w:rsidP="00383C8A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</w:p>
    <w:p w:rsidR="00383C8A" w:rsidRPr="005A06DB" w:rsidRDefault="00383C8A" w:rsidP="00383C8A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 w:rsidRPr="005A06DB">
        <w:rPr>
          <w:rFonts w:ascii="Times New Roman" w:hAnsi="Times New Roman"/>
          <w:b/>
          <w:sz w:val="20"/>
          <w:lang w:val="en-GB"/>
        </w:rPr>
        <w:t>Observation</w:t>
      </w:r>
      <w:r>
        <w:rPr>
          <w:rFonts w:ascii="Times New Roman" w:hAnsi="Times New Roman"/>
          <w:b/>
          <w:sz w:val="20"/>
          <w:lang w:val="en-GB"/>
        </w:rPr>
        <w:t xml:space="preserve"> 2</w:t>
      </w:r>
      <w:r w:rsidRPr="005A06DB">
        <w:rPr>
          <w:rFonts w:ascii="Times New Roman" w:hAnsi="Times New Roman"/>
          <w:b/>
          <w:sz w:val="20"/>
          <w:lang w:val="en-GB"/>
        </w:rPr>
        <w:t>: Current stage 2 specification links the Global gNB ID and the NCGI together, and the NCGI therefore contains the PLMN-ID and the gNB ID used in the Global gNB ID</w:t>
      </w:r>
    </w:p>
    <w:p w:rsidR="00383C8A" w:rsidRDefault="00383C8A" w:rsidP="00383C8A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</w:p>
    <w:p w:rsidR="00383C8A" w:rsidRDefault="00383C8A" w:rsidP="00383C8A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And we propose:</w:t>
      </w:r>
    </w:p>
    <w:p w:rsidR="00383C8A" w:rsidRPr="00383C8A" w:rsidRDefault="00383C8A" w:rsidP="00383C8A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383C8A" w:rsidRPr="00383C8A" w:rsidRDefault="00383C8A" w:rsidP="00383C8A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 w:rsidRPr="00383C8A">
        <w:rPr>
          <w:rFonts w:ascii="Times New Roman" w:hAnsi="Times New Roman"/>
          <w:b/>
          <w:sz w:val="20"/>
          <w:lang w:val="en-GB"/>
        </w:rPr>
        <w:t>Proposal: Adopt solution 2 (constructing NCGI with the first PLMN entry pointing to the cell identity in SIB1), with corresponding alignment of construction rule</w:t>
      </w:r>
      <w:r>
        <w:rPr>
          <w:rFonts w:ascii="Times New Roman" w:hAnsi="Times New Roman"/>
          <w:b/>
          <w:sz w:val="20"/>
          <w:lang w:val="en-GB"/>
        </w:rPr>
        <w:t>s</w:t>
      </w:r>
      <w:r w:rsidRPr="00383C8A">
        <w:rPr>
          <w:rFonts w:ascii="Times New Roman" w:hAnsi="Times New Roman"/>
          <w:b/>
          <w:sz w:val="20"/>
          <w:lang w:val="en-GB"/>
        </w:rPr>
        <w:t xml:space="preserve"> for Global gNB ID and TAI.</w:t>
      </w:r>
    </w:p>
    <w:p w:rsidR="00383C8A" w:rsidRDefault="00383C8A" w:rsidP="00CD4C7B"/>
    <w:p w:rsidR="00670E17" w:rsidRPr="00383C8A" w:rsidRDefault="00670E17" w:rsidP="00CD4C7B">
      <w:r>
        <w:t>A text proposal for the NCGI definition update is included above.</w:t>
      </w: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B369EB" w:rsidRPr="006E13D1" w:rsidRDefault="00B369EB" w:rsidP="00B369EB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4" w:name="_Ref75086397"/>
      <w:r>
        <w:t>[1]</w:t>
      </w:r>
      <w:r>
        <w:tab/>
      </w:r>
      <w:r>
        <w:tab/>
        <w:t>R3-195099</w:t>
      </w:r>
      <w:r w:rsidRPr="006E13D1">
        <w:t xml:space="preserve">, </w:t>
      </w:r>
      <w:r w:rsidRPr="00B369EB">
        <w:t>Some Clarifications on RAN Sharing in Rel-15</w:t>
      </w:r>
      <w:r>
        <w:t xml:space="preserve">, </w:t>
      </w:r>
      <w:r w:rsidRPr="00B369EB">
        <w:t>China Telecommunications</w:t>
      </w:r>
    </w:p>
    <w:p w:rsidR="00B369EB" w:rsidRPr="006E13D1" w:rsidRDefault="00B369EB" w:rsidP="00B369EB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</w:t>
      </w:r>
      <w:r>
        <w:tab/>
      </w:r>
      <w:r>
        <w:tab/>
        <w:t>R3-195751</w:t>
      </w:r>
      <w:r w:rsidRPr="006E13D1">
        <w:t xml:space="preserve">, </w:t>
      </w:r>
      <w:r w:rsidRPr="00B369EB">
        <w:t xml:space="preserve">The </w:t>
      </w:r>
      <w:proofErr w:type="spellStart"/>
      <w:r w:rsidRPr="00B369EB">
        <w:t>clarfiction</w:t>
      </w:r>
      <w:proofErr w:type="spellEnd"/>
      <w:r w:rsidRPr="00B369EB">
        <w:t xml:space="preserve"> of NCGI </w:t>
      </w:r>
      <w:proofErr w:type="spellStart"/>
      <w:r w:rsidRPr="00B369EB">
        <w:t>defnition</w:t>
      </w:r>
      <w:proofErr w:type="spellEnd"/>
      <w:r w:rsidRPr="006E13D1">
        <w:t xml:space="preserve">, </w:t>
      </w:r>
      <w:r w:rsidR="00C549F3">
        <w:t xml:space="preserve">CR to TS 38.300, </w:t>
      </w:r>
      <w:r>
        <w:t>Samsung</w:t>
      </w:r>
    </w:p>
    <w:p w:rsidR="00CD4C7B" w:rsidRPr="006E13D1" w:rsidRDefault="00AF78D5" w:rsidP="00B369EB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 w:rsidR="00B369EB">
        <w:t>3</w:t>
      </w:r>
      <w:r>
        <w:t>]</w:t>
      </w:r>
      <w:r>
        <w:tab/>
      </w:r>
      <w:r>
        <w:tab/>
      </w:r>
      <w:r w:rsidR="00E90ABE">
        <w:t>R3-1</w:t>
      </w:r>
      <w:r w:rsidR="00AD4BCF">
        <w:t>9</w:t>
      </w:r>
      <w:r w:rsidR="00366C7B">
        <w:t>6117</w:t>
      </w:r>
      <w:r w:rsidR="00CD4C7B" w:rsidRPr="006E13D1">
        <w:t xml:space="preserve">, </w:t>
      </w:r>
      <w:r w:rsidR="00366C7B" w:rsidRPr="00366C7B">
        <w:t>Summary of Offline Discussion on NCGI Clarification</w:t>
      </w:r>
      <w:r w:rsidR="00CD4C7B" w:rsidRPr="006E13D1">
        <w:t xml:space="preserve">, </w:t>
      </w:r>
      <w:bookmarkEnd w:id="4"/>
      <w:r w:rsidR="00366C7B">
        <w:t>Samsung</w:t>
      </w:r>
    </w:p>
    <w:p w:rsidR="00CD4C7B" w:rsidRPr="006E13D1" w:rsidRDefault="00CD4C7B" w:rsidP="00CD4C7B"/>
    <w:p w:rsidR="00CD4C7B" w:rsidRDefault="00CD4C7B" w:rsidP="00CD4C7B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726F" w:rsidRDefault="002E726F">
      <w:r>
        <w:separator/>
      </w:r>
    </w:p>
  </w:endnote>
  <w:endnote w:type="continuationSeparator" w:id="0">
    <w:p w:rsidR="002E726F" w:rsidRDefault="002E7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726F" w:rsidRDefault="002E726F">
      <w:r>
        <w:separator/>
      </w:r>
    </w:p>
  </w:footnote>
  <w:footnote w:type="continuationSeparator" w:id="0">
    <w:p w:rsidR="002E726F" w:rsidRDefault="002E72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C44FD"/>
    <w:multiLevelType w:val="hybridMultilevel"/>
    <w:tmpl w:val="C7C213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63E"/>
    <w:rsid w:val="00080512"/>
    <w:rsid w:val="00083F0D"/>
    <w:rsid w:val="000B7BCF"/>
    <w:rsid w:val="000C556D"/>
    <w:rsid w:val="000D376D"/>
    <w:rsid w:val="000D4852"/>
    <w:rsid w:val="000D58AB"/>
    <w:rsid w:val="001075B7"/>
    <w:rsid w:val="00135D0F"/>
    <w:rsid w:val="001370F2"/>
    <w:rsid w:val="00152B8F"/>
    <w:rsid w:val="001549DD"/>
    <w:rsid w:val="001811DE"/>
    <w:rsid w:val="00194CD0"/>
    <w:rsid w:val="001A1D78"/>
    <w:rsid w:val="001B08B3"/>
    <w:rsid w:val="001C4281"/>
    <w:rsid w:val="001D0D3F"/>
    <w:rsid w:val="001F168B"/>
    <w:rsid w:val="001F70B7"/>
    <w:rsid w:val="0022606D"/>
    <w:rsid w:val="002305DD"/>
    <w:rsid w:val="00232EAF"/>
    <w:rsid w:val="00243BC7"/>
    <w:rsid w:val="00247D51"/>
    <w:rsid w:val="002623FC"/>
    <w:rsid w:val="00270A83"/>
    <w:rsid w:val="002747EC"/>
    <w:rsid w:val="002855BF"/>
    <w:rsid w:val="002E1692"/>
    <w:rsid w:val="002E726F"/>
    <w:rsid w:val="002F0D22"/>
    <w:rsid w:val="003172DC"/>
    <w:rsid w:val="00326069"/>
    <w:rsid w:val="00331E75"/>
    <w:rsid w:val="003454FC"/>
    <w:rsid w:val="0035462D"/>
    <w:rsid w:val="00363177"/>
    <w:rsid w:val="00366C7B"/>
    <w:rsid w:val="00383C8A"/>
    <w:rsid w:val="003A62ED"/>
    <w:rsid w:val="003B3EE3"/>
    <w:rsid w:val="003B3FB3"/>
    <w:rsid w:val="003C4E37"/>
    <w:rsid w:val="003E01A5"/>
    <w:rsid w:val="003E16BE"/>
    <w:rsid w:val="003E7223"/>
    <w:rsid w:val="003F03DF"/>
    <w:rsid w:val="00401855"/>
    <w:rsid w:val="00421DA3"/>
    <w:rsid w:val="004238B1"/>
    <w:rsid w:val="00464695"/>
    <w:rsid w:val="00465FE5"/>
    <w:rsid w:val="004A705B"/>
    <w:rsid w:val="004D3578"/>
    <w:rsid w:val="004D380D"/>
    <w:rsid w:val="004D3F58"/>
    <w:rsid w:val="004D5E47"/>
    <w:rsid w:val="004E0E3B"/>
    <w:rsid w:val="004E213A"/>
    <w:rsid w:val="004E21FC"/>
    <w:rsid w:val="00503171"/>
    <w:rsid w:val="00506C01"/>
    <w:rsid w:val="005153FE"/>
    <w:rsid w:val="005240A4"/>
    <w:rsid w:val="00534DA0"/>
    <w:rsid w:val="00543E6C"/>
    <w:rsid w:val="00544635"/>
    <w:rsid w:val="00565087"/>
    <w:rsid w:val="0056573F"/>
    <w:rsid w:val="00571CE2"/>
    <w:rsid w:val="0058342C"/>
    <w:rsid w:val="005A06DB"/>
    <w:rsid w:val="005A4971"/>
    <w:rsid w:val="005B1232"/>
    <w:rsid w:val="005B2EEF"/>
    <w:rsid w:val="005D4274"/>
    <w:rsid w:val="00601142"/>
    <w:rsid w:val="00605E3E"/>
    <w:rsid w:val="00606DA9"/>
    <w:rsid w:val="00611566"/>
    <w:rsid w:val="00620844"/>
    <w:rsid w:val="00656E1E"/>
    <w:rsid w:val="00670E17"/>
    <w:rsid w:val="006C54B5"/>
    <w:rsid w:val="006D1E24"/>
    <w:rsid w:val="00723014"/>
    <w:rsid w:val="00734A5B"/>
    <w:rsid w:val="00743525"/>
    <w:rsid w:val="00744E76"/>
    <w:rsid w:val="007476DB"/>
    <w:rsid w:val="0075776F"/>
    <w:rsid w:val="00757D40"/>
    <w:rsid w:val="00774846"/>
    <w:rsid w:val="00781F0F"/>
    <w:rsid w:val="0078727C"/>
    <w:rsid w:val="007A6BA2"/>
    <w:rsid w:val="007C095F"/>
    <w:rsid w:val="007D5902"/>
    <w:rsid w:val="007E12DF"/>
    <w:rsid w:val="00802106"/>
    <w:rsid w:val="008028A4"/>
    <w:rsid w:val="00806520"/>
    <w:rsid w:val="00840916"/>
    <w:rsid w:val="00853EDD"/>
    <w:rsid w:val="008604EE"/>
    <w:rsid w:val="008611DC"/>
    <w:rsid w:val="008768CA"/>
    <w:rsid w:val="00880559"/>
    <w:rsid w:val="008A31AD"/>
    <w:rsid w:val="008A5FE6"/>
    <w:rsid w:val="0090271F"/>
    <w:rsid w:val="00903D8C"/>
    <w:rsid w:val="009341DC"/>
    <w:rsid w:val="00942EC2"/>
    <w:rsid w:val="00954BCB"/>
    <w:rsid w:val="00961B32"/>
    <w:rsid w:val="00971683"/>
    <w:rsid w:val="00972FD7"/>
    <w:rsid w:val="00974BB0"/>
    <w:rsid w:val="009A098E"/>
    <w:rsid w:val="009A6E4F"/>
    <w:rsid w:val="009C4D5C"/>
    <w:rsid w:val="009D0A28"/>
    <w:rsid w:val="009F3B54"/>
    <w:rsid w:val="009F7E6E"/>
    <w:rsid w:val="00A10F02"/>
    <w:rsid w:val="00A53724"/>
    <w:rsid w:val="00A82346"/>
    <w:rsid w:val="00A8361A"/>
    <w:rsid w:val="00A9671C"/>
    <w:rsid w:val="00AD4BCF"/>
    <w:rsid w:val="00AF78D5"/>
    <w:rsid w:val="00B1063A"/>
    <w:rsid w:val="00B125F6"/>
    <w:rsid w:val="00B15449"/>
    <w:rsid w:val="00B369EB"/>
    <w:rsid w:val="00B9781E"/>
    <w:rsid w:val="00BD5704"/>
    <w:rsid w:val="00BF79F1"/>
    <w:rsid w:val="00C03035"/>
    <w:rsid w:val="00C07417"/>
    <w:rsid w:val="00C1011B"/>
    <w:rsid w:val="00C33079"/>
    <w:rsid w:val="00C37A83"/>
    <w:rsid w:val="00C43B31"/>
    <w:rsid w:val="00C549F3"/>
    <w:rsid w:val="00CA2A72"/>
    <w:rsid w:val="00CA3D0C"/>
    <w:rsid w:val="00CB6651"/>
    <w:rsid w:val="00CB6887"/>
    <w:rsid w:val="00CD4C7B"/>
    <w:rsid w:val="00D22038"/>
    <w:rsid w:val="00D234B3"/>
    <w:rsid w:val="00D738D6"/>
    <w:rsid w:val="00D80795"/>
    <w:rsid w:val="00D84193"/>
    <w:rsid w:val="00D87E00"/>
    <w:rsid w:val="00D9134D"/>
    <w:rsid w:val="00D96EC7"/>
    <w:rsid w:val="00D97CD9"/>
    <w:rsid w:val="00DA7A03"/>
    <w:rsid w:val="00DB1818"/>
    <w:rsid w:val="00DB62CB"/>
    <w:rsid w:val="00DC309B"/>
    <w:rsid w:val="00DC4DA2"/>
    <w:rsid w:val="00DE1406"/>
    <w:rsid w:val="00E01EE3"/>
    <w:rsid w:val="00E07838"/>
    <w:rsid w:val="00E340BC"/>
    <w:rsid w:val="00E619A6"/>
    <w:rsid w:val="00E62835"/>
    <w:rsid w:val="00E77645"/>
    <w:rsid w:val="00E80E76"/>
    <w:rsid w:val="00E852FF"/>
    <w:rsid w:val="00E90ABE"/>
    <w:rsid w:val="00EA22F8"/>
    <w:rsid w:val="00EC4A25"/>
    <w:rsid w:val="00ED03E7"/>
    <w:rsid w:val="00ED67E7"/>
    <w:rsid w:val="00EE0A1E"/>
    <w:rsid w:val="00F025A2"/>
    <w:rsid w:val="00F129F6"/>
    <w:rsid w:val="00F1568C"/>
    <w:rsid w:val="00F2026E"/>
    <w:rsid w:val="00F2210A"/>
    <w:rsid w:val="00F37743"/>
    <w:rsid w:val="00F54A3D"/>
    <w:rsid w:val="00F653B8"/>
    <w:rsid w:val="00F76F8F"/>
    <w:rsid w:val="00F775DC"/>
    <w:rsid w:val="00FA1266"/>
    <w:rsid w:val="00FB2BEA"/>
    <w:rsid w:val="00FC1192"/>
    <w:rsid w:val="00FC2F4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41B0F5"/>
  <w15:chartTrackingRefBased/>
  <w15:docId w15:val="{56E35539-1AEF-4997-AA7A-824BBBA4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B1Char">
    <w:name w:val="B1 Char"/>
    <w:link w:val="B1"/>
    <w:rsid w:val="00506C01"/>
    <w:rPr>
      <w:lang w:val="en-GB" w:eastAsia="en-US"/>
    </w:rPr>
  </w:style>
  <w:style w:type="character" w:customStyle="1" w:styleId="B1Zchn">
    <w:name w:val="B1 Zchn"/>
    <w:rsid w:val="00670E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32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968</TotalTime>
  <Pages>3</Pages>
  <Words>1126</Words>
  <Characters>6195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7307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dc:description/>
  <cp:lastModifiedBy>Nokia</cp:lastModifiedBy>
  <cp:revision>21</cp:revision>
  <dcterms:created xsi:type="dcterms:W3CDTF">2019-06-29T13:33:00Z</dcterms:created>
  <dcterms:modified xsi:type="dcterms:W3CDTF">2019-11-09T01:27:00Z</dcterms:modified>
</cp:coreProperties>
</file>